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763E83" w:rsidRPr="00763E83">
        <w:rPr>
          <w:rFonts w:ascii="Times New Roman" w:eastAsia="Times New Roman" w:hAnsi="Times New Roman" w:cs="Times New Roman"/>
          <w:sz w:val="24"/>
          <w:szCs w:val="24"/>
          <w:lang w:val="bg-BG"/>
        </w:rPr>
        <w:t>„Преработка на 96 (деветдесет и шест) броя системи за осигуряване на автономно електрозахранване на площадка за изстрелване на противоградо</w:t>
      </w:r>
      <w:r w:rsidR="00763E83">
        <w:rPr>
          <w:rFonts w:ascii="Times New Roman" w:eastAsia="Times New Roman" w:hAnsi="Times New Roman" w:cs="Times New Roman"/>
          <w:sz w:val="24"/>
          <w:szCs w:val="24"/>
          <w:lang w:val="bg-BG"/>
        </w:rPr>
        <w:t>ви ракети - от 250 Wp на 500 Wp</w:t>
      </w:r>
      <w:r w:rsidR="005B5BDE" w:rsidRPr="005B5BD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763E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РД-13-172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19.12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5D15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763E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bookmarkStart w:id="0" w:name="_GoBack"/>
      <w:bookmarkEnd w:id="0"/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763E83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2016-12-15T08:51:00Z</dcterms:created>
  <dcterms:modified xsi:type="dcterms:W3CDTF">2016-12-15T08:51:00Z</dcterms:modified>
</cp:coreProperties>
</file>